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9F55">
      <w:pPr>
        <w:spacing w:before="56" w:line="594" w:lineRule="exact"/>
        <w:ind w:left="10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“蓝盾护航”—2025</w:t>
      </w:r>
      <w:r>
        <w:rPr>
          <w:rFonts w:ascii="宋体" w:hAnsi="宋体" w:eastAsia="宋体" w:cs="宋体"/>
          <w:spacing w:val="-84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年开学季学校卫生监督执法检查问题台账</w:t>
      </w:r>
    </w:p>
    <w:p w14:paraId="46CDF6DE">
      <w:pPr>
        <w:spacing w:line="467" w:lineRule="auto"/>
        <w:rPr>
          <w:rFonts w:ascii="Arial"/>
          <w:sz w:val="21"/>
        </w:rPr>
      </w:pPr>
    </w:p>
    <w:p w14:paraId="24A69ECD">
      <w:pPr>
        <w:spacing w:line="209" w:lineRule="exact"/>
      </w:pPr>
    </w:p>
    <w:tbl>
      <w:tblPr>
        <w:tblStyle w:val="5"/>
        <w:tblW w:w="140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900"/>
        <w:gridCol w:w="1740"/>
        <w:gridCol w:w="3153"/>
        <w:gridCol w:w="1245"/>
        <w:gridCol w:w="1305"/>
        <w:gridCol w:w="1020"/>
        <w:gridCol w:w="1455"/>
        <w:gridCol w:w="1010"/>
        <w:gridCol w:w="1509"/>
      </w:tblGrid>
      <w:tr w14:paraId="47761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68" w:type="dxa"/>
            <w:vAlign w:val="top"/>
          </w:tcPr>
          <w:p w14:paraId="38BE9511">
            <w:pPr>
              <w:spacing w:before="328" w:line="242" w:lineRule="auto"/>
              <w:ind w:left="1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top"/>
          </w:tcPr>
          <w:p w14:paraId="342544CF">
            <w:pPr>
              <w:spacing w:before="330" w:line="239" w:lineRule="auto"/>
              <w:ind w:left="2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学校类别</w:t>
            </w:r>
          </w:p>
        </w:tc>
        <w:tc>
          <w:tcPr>
            <w:tcW w:w="1740" w:type="dxa"/>
            <w:vAlign w:val="top"/>
          </w:tcPr>
          <w:p w14:paraId="7807B3D0">
            <w:pPr>
              <w:spacing w:before="330" w:line="239" w:lineRule="auto"/>
              <w:ind w:left="4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学校全称</w:t>
            </w:r>
          </w:p>
        </w:tc>
        <w:tc>
          <w:tcPr>
            <w:tcW w:w="3153" w:type="dxa"/>
            <w:vAlign w:val="top"/>
          </w:tcPr>
          <w:p w14:paraId="6AB3A25A">
            <w:pPr>
              <w:spacing w:before="329" w:line="241" w:lineRule="auto"/>
              <w:ind w:left="3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检查内容</w:t>
            </w:r>
          </w:p>
        </w:tc>
        <w:tc>
          <w:tcPr>
            <w:tcW w:w="1245" w:type="dxa"/>
            <w:vAlign w:val="top"/>
          </w:tcPr>
          <w:p w14:paraId="096EC2C3">
            <w:pPr>
              <w:spacing w:before="329"/>
              <w:ind w:left="1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存在问题</w:t>
            </w:r>
          </w:p>
        </w:tc>
        <w:tc>
          <w:tcPr>
            <w:tcW w:w="1305" w:type="dxa"/>
            <w:vAlign w:val="top"/>
          </w:tcPr>
          <w:p w14:paraId="0090F0B6">
            <w:pPr>
              <w:spacing w:before="7" w:line="212" w:lineRule="auto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是否下达</w:t>
            </w:r>
          </w:p>
          <w:p w14:paraId="3B9DFF42">
            <w:pPr>
              <w:spacing w:line="210" w:lineRule="auto"/>
              <w:ind w:left="1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卫生监督</w:t>
            </w:r>
          </w:p>
          <w:p w14:paraId="097C71DF">
            <w:pPr>
              <w:spacing w:line="204" w:lineRule="auto"/>
              <w:ind w:left="2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意见书</w:t>
            </w:r>
          </w:p>
        </w:tc>
        <w:tc>
          <w:tcPr>
            <w:tcW w:w="1020" w:type="dxa"/>
            <w:vAlign w:val="top"/>
          </w:tcPr>
          <w:p w14:paraId="4720DB73">
            <w:pPr>
              <w:spacing w:before="169" w:line="210" w:lineRule="auto"/>
              <w:ind w:left="2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处理</w:t>
            </w:r>
          </w:p>
          <w:p w14:paraId="591548DD">
            <w:pPr>
              <w:spacing w:line="370" w:lineRule="exact"/>
              <w:ind w:left="2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结果</w:t>
            </w:r>
          </w:p>
        </w:tc>
        <w:tc>
          <w:tcPr>
            <w:tcW w:w="1455" w:type="dxa"/>
            <w:vAlign w:val="top"/>
          </w:tcPr>
          <w:p w14:paraId="74B23BFC">
            <w:pPr>
              <w:spacing w:before="168" w:line="226" w:lineRule="auto"/>
              <w:ind w:left="432" w:right="138" w:hanging="2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整改完成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情况</w:t>
            </w:r>
          </w:p>
        </w:tc>
        <w:tc>
          <w:tcPr>
            <w:tcW w:w="1010" w:type="dxa"/>
            <w:vAlign w:val="top"/>
          </w:tcPr>
          <w:p w14:paraId="6F685493">
            <w:pPr>
              <w:spacing w:before="330" w:line="210" w:lineRule="auto"/>
              <w:ind w:left="2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行政</w:t>
            </w:r>
          </w:p>
          <w:p w14:paraId="3D8BEBB0">
            <w:pPr>
              <w:spacing w:line="204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处罚</w:t>
            </w:r>
          </w:p>
        </w:tc>
        <w:tc>
          <w:tcPr>
            <w:tcW w:w="1509" w:type="dxa"/>
            <w:vAlign w:val="top"/>
          </w:tcPr>
          <w:p w14:paraId="38A81166">
            <w:pPr>
              <w:spacing w:before="169" w:line="210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处罚金额</w:t>
            </w:r>
          </w:p>
          <w:p w14:paraId="6CD69062">
            <w:pPr>
              <w:spacing w:line="242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万元</w:t>
            </w:r>
            <w:r>
              <w:rPr>
                <w:rFonts w:ascii="黑体" w:hAnsi="黑体" w:eastAsia="黑体" w:cs="黑体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）</w:t>
            </w:r>
          </w:p>
        </w:tc>
      </w:tr>
      <w:tr w14:paraId="2C3C0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8" w:type="dxa"/>
            <w:vAlign w:val="top"/>
          </w:tcPr>
          <w:p w14:paraId="4ABD73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 w14:paraId="4926BEC8"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950EF98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071E6F3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4C63330">
            <w:pPr>
              <w:bidi w:val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1</w:t>
            </w:r>
          </w:p>
        </w:tc>
        <w:tc>
          <w:tcPr>
            <w:tcW w:w="900" w:type="dxa"/>
            <w:vAlign w:val="top"/>
          </w:tcPr>
          <w:p w14:paraId="5F280132">
            <w:pPr>
              <w:ind w:firstLine="223" w:firstLineChars="0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高中</w:t>
            </w:r>
          </w:p>
        </w:tc>
        <w:tc>
          <w:tcPr>
            <w:tcW w:w="1740" w:type="dxa"/>
            <w:vAlign w:val="top"/>
          </w:tcPr>
          <w:p w14:paraId="4927F6E4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嘉荫县第一中学</w:t>
            </w:r>
          </w:p>
        </w:tc>
        <w:tc>
          <w:tcPr>
            <w:tcW w:w="3153" w:type="dxa"/>
            <w:vAlign w:val="top"/>
          </w:tcPr>
          <w:p w14:paraId="4397C624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传染病防控管理</w:t>
            </w:r>
          </w:p>
          <w:p w14:paraId="77171A8A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79EBCA60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319C20A6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5E38BC83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26F5CB3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294E549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2F15AE7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26D6C9B7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02E05A36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</w:tc>
        <w:tc>
          <w:tcPr>
            <w:tcW w:w="1245" w:type="dxa"/>
            <w:vAlign w:val="top"/>
          </w:tcPr>
          <w:p w14:paraId="6CB871DD">
            <w:pPr>
              <w:pStyle w:val="6"/>
              <w:spacing w:before="117" w:line="235" w:lineRule="auto"/>
              <w:ind w:left="126"/>
              <w:rPr>
                <w:rFonts w:hint="eastAsia" w:ascii="仿宋_GB2312" w:hAnsi="仿宋_GB2312" w:eastAsia="仿宋_GB2312" w:cs="仿宋_GB2312"/>
              </w:rPr>
            </w:pPr>
          </w:p>
          <w:p w14:paraId="2F358AB7"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  <w:p w14:paraId="50AAEC82">
            <w:pPr>
              <w:spacing w:before="69" w:line="83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6FC840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129ECB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33DD4614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6D4A28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45D250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54217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8" w:type="dxa"/>
            <w:vAlign w:val="top"/>
          </w:tcPr>
          <w:p w14:paraId="4B3F45E9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F5B5130">
            <w:pPr>
              <w:bidi w:val="0"/>
              <w:ind w:firstLine="347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top"/>
          </w:tcPr>
          <w:p w14:paraId="515CB79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CEEBCA">
            <w:pPr>
              <w:bidi w:val="0"/>
              <w:ind w:firstLine="315" w:firstLine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1740" w:type="dxa"/>
            <w:vAlign w:val="top"/>
          </w:tcPr>
          <w:p w14:paraId="3E45A08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FC536E">
            <w:pPr>
              <w:bidi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嘉荫县职教中心校</w:t>
            </w:r>
          </w:p>
        </w:tc>
        <w:tc>
          <w:tcPr>
            <w:tcW w:w="3153" w:type="dxa"/>
            <w:vAlign w:val="top"/>
          </w:tcPr>
          <w:p w14:paraId="0237AF89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63EA1CDD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61948BF2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3A4264C2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3A0B438C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329586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4E2F2D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56AA58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068BF768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503BA539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  <w:p w14:paraId="3CD0AB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5" w:type="dxa"/>
            <w:vAlign w:val="top"/>
          </w:tcPr>
          <w:p w14:paraId="4E51EDD3">
            <w:pPr>
              <w:ind w:firstLine="213" w:firstLineChars="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</w:tc>
        <w:tc>
          <w:tcPr>
            <w:tcW w:w="1305" w:type="dxa"/>
            <w:vAlign w:val="top"/>
          </w:tcPr>
          <w:p w14:paraId="354526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7FE544ED">
            <w:pPr>
              <w:ind w:firstLine="263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1A289A2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3E16D33F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4E0DD6A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15BD6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8" w:type="dxa"/>
            <w:vAlign w:val="top"/>
          </w:tcPr>
          <w:p w14:paraId="0709C505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916FF0">
            <w:pPr>
              <w:bidi w:val="0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top"/>
          </w:tcPr>
          <w:p w14:paraId="5EB57F01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中学</w:t>
            </w:r>
          </w:p>
        </w:tc>
        <w:tc>
          <w:tcPr>
            <w:tcW w:w="1740" w:type="dxa"/>
            <w:vAlign w:val="top"/>
          </w:tcPr>
          <w:p w14:paraId="6DA08A48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嘉荫县第二中学</w:t>
            </w:r>
          </w:p>
        </w:tc>
        <w:tc>
          <w:tcPr>
            <w:tcW w:w="3153" w:type="dxa"/>
            <w:vAlign w:val="top"/>
          </w:tcPr>
          <w:p w14:paraId="4FC58732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47D1E85F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556F60A7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454307D6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管理、</w:t>
            </w:r>
          </w:p>
          <w:p w14:paraId="5E4DEC92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763F03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5E8D0DA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02D01E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16594781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2D2491BB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  <w:p w14:paraId="0E93243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5" w:type="dxa"/>
            <w:vAlign w:val="top"/>
          </w:tcPr>
          <w:p w14:paraId="17A88896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</w:tc>
        <w:tc>
          <w:tcPr>
            <w:tcW w:w="1305" w:type="dxa"/>
            <w:vAlign w:val="top"/>
          </w:tcPr>
          <w:p w14:paraId="2444A93F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31F2FA17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1F6A18DB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260DDA98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5BDBC698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21A2F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8" w:type="dxa"/>
            <w:vAlign w:val="top"/>
          </w:tcPr>
          <w:p w14:paraId="2C1CF745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A60408F"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6B59808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</w:p>
          <w:p w14:paraId="33876FFC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</w:p>
          <w:p w14:paraId="7D7933BB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</w:p>
          <w:p w14:paraId="6818CC34">
            <w:pPr>
              <w:bidi w:val="0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 w14:paraId="193BB73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9AC92C"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中学</w:t>
            </w:r>
          </w:p>
        </w:tc>
        <w:tc>
          <w:tcPr>
            <w:tcW w:w="1740" w:type="dxa"/>
            <w:vAlign w:val="top"/>
          </w:tcPr>
          <w:p w14:paraId="617DDF18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嘉荫县第三中学</w:t>
            </w:r>
          </w:p>
        </w:tc>
        <w:tc>
          <w:tcPr>
            <w:tcW w:w="3153" w:type="dxa"/>
            <w:vAlign w:val="top"/>
          </w:tcPr>
          <w:p w14:paraId="113E9461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53E0E9A6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73FA79F5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78931C04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3BCB63A0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2FA1E6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697BE86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6C623F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686E996F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4FD91879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  <w:p w14:paraId="7AC8464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A13A3D7"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vAlign w:val="top"/>
          </w:tcPr>
          <w:p w14:paraId="07213755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</w:tc>
        <w:tc>
          <w:tcPr>
            <w:tcW w:w="1305" w:type="dxa"/>
            <w:vAlign w:val="top"/>
          </w:tcPr>
          <w:p w14:paraId="3DC5E62D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5F556FBE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548A4628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60F8A709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29ACBA39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0B6F3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8" w:type="dxa"/>
            <w:vAlign w:val="top"/>
          </w:tcPr>
          <w:p w14:paraId="13592F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 w14:paraId="40BA0606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中小学</w:t>
            </w:r>
          </w:p>
        </w:tc>
        <w:tc>
          <w:tcPr>
            <w:tcW w:w="1740" w:type="dxa"/>
            <w:vAlign w:val="top"/>
          </w:tcPr>
          <w:p w14:paraId="2F2192B6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嘉荫县农场学校</w:t>
            </w:r>
          </w:p>
        </w:tc>
        <w:tc>
          <w:tcPr>
            <w:tcW w:w="3153" w:type="dxa"/>
            <w:vAlign w:val="top"/>
          </w:tcPr>
          <w:p w14:paraId="620BA82D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4C345018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1481B1BB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72A8915F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2D51BF0D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415EC9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56578F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248E1C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702440C3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137DC39C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  <w:p w14:paraId="00950FF8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 w14:paraId="6E3CF977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保健医无卫生保健技术合格证</w:t>
            </w:r>
          </w:p>
        </w:tc>
        <w:tc>
          <w:tcPr>
            <w:tcW w:w="1305" w:type="dxa"/>
            <w:vAlign w:val="top"/>
          </w:tcPr>
          <w:p w14:paraId="02366B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2A25785A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092B376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28E013A0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58F704DE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65C9B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8" w:type="dxa"/>
            <w:vAlign w:val="top"/>
          </w:tcPr>
          <w:p w14:paraId="583B14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6</w:t>
            </w:r>
          </w:p>
        </w:tc>
        <w:tc>
          <w:tcPr>
            <w:tcW w:w="900" w:type="dxa"/>
            <w:vAlign w:val="top"/>
          </w:tcPr>
          <w:p w14:paraId="502004FE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中学</w:t>
            </w:r>
          </w:p>
        </w:tc>
        <w:tc>
          <w:tcPr>
            <w:tcW w:w="1740" w:type="dxa"/>
            <w:vAlign w:val="top"/>
          </w:tcPr>
          <w:p w14:paraId="076F7763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嘉荫县乌云中学</w:t>
            </w:r>
          </w:p>
        </w:tc>
        <w:tc>
          <w:tcPr>
            <w:tcW w:w="3153" w:type="dxa"/>
            <w:vAlign w:val="top"/>
          </w:tcPr>
          <w:p w14:paraId="4EB6EC72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697383F7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7EE6E9BF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068C62FB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5A7FF08C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4D8BBC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5653884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0EE17B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58392881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103E969E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  <w:p w14:paraId="25F1E7EC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 w14:paraId="762EE51F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保健医无卫生保健技术合格证</w:t>
            </w:r>
          </w:p>
        </w:tc>
        <w:tc>
          <w:tcPr>
            <w:tcW w:w="1305" w:type="dxa"/>
            <w:vAlign w:val="top"/>
          </w:tcPr>
          <w:p w14:paraId="68BE1B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7C35764C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6F6C7B2D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389C000A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0237538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29A84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8" w:type="dxa"/>
            <w:vAlign w:val="top"/>
          </w:tcPr>
          <w:p w14:paraId="402BA41C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7</w:t>
            </w:r>
          </w:p>
        </w:tc>
        <w:tc>
          <w:tcPr>
            <w:tcW w:w="900" w:type="dxa"/>
            <w:vAlign w:val="top"/>
          </w:tcPr>
          <w:p w14:paraId="742ADA8C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小学</w:t>
            </w:r>
          </w:p>
        </w:tc>
        <w:tc>
          <w:tcPr>
            <w:tcW w:w="1740" w:type="dxa"/>
            <w:vAlign w:val="top"/>
          </w:tcPr>
          <w:p w14:paraId="10E278F6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嘉荫县第一小学</w:t>
            </w:r>
          </w:p>
        </w:tc>
        <w:tc>
          <w:tcPr>
            <w:tcW w:w="3153" w:type="dxa"/>
            <w:vAlign w:val="top"/>
          </w:tcPr>
          <w:p w14:paraId="19562D18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6E93DF14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20C769DD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38412578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13D0CD91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0F993D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6ECAB6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50A0CE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05F7034B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0038F2DE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</w:tc>
        <w:tc>
          <w:tcPr>
            <w:tcW w:w="1245" w:type="dxa"/>
            <w:vAlign w:val="top"/>
          </w:tcPr>
          <w:p w14:paraId="6FD3F7A5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</w:tc>
        <w:tc>
          <w:tcPr>
            <w:tcW w:w="1305" w:type="dxa"/>
            <w:vAlign w:val="top"/>
          </w:tcPr>
          <w:p w14:paraId="16CD4D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60FCEF17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623CAF14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1534DD9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6A9B0C62"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44B84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7" w:hRule="atLeast"/>
        </w:trPr>
        <w:tc>
          <w:tcPr>
            <w:tcW w:w="668" w:type="dxa"/>
            <w:vAlign w:val="top"/>
          </w:tcPr>
          <w:p w14:paraId="3C72E4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8</w:t>
            </w:r>
          </w:p>
        </w:tc>
        <w:tc>
          <w:tcPr>
            <w:tcW w:w="900" w:type="dxa"/>
            <w:vAlign w:val="top"/>
          </w:tcPr>
          <w:p w14:paraId="27021523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小学</w:t>
            </w:r>
          </w:p>
        </w:tc>
        <w:tc>
          <w:tcPr>
            <w:tcW w:w="1740" w:type="dxa"/>
            <w:vAlign w:val="top"/>
          </w:tcPr>
          <w:p w14:paraId="209AEAE9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嘉荫县第二小学</w:t>
            </w:r>
          </w:p>
        </w:tc>
        <w:tc>
          <w:tcPr>
            <w:tcW w:w="3153" w:type="dxa"/>
            <w:vAlign w:val="top"/>
          </w:tcPr>
          <w:p w14:paraId="42F701B1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70B2A600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0A368BC7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22C945C9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057FB6C4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025F07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457BEDF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2CEDC7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43A06FD0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375E3FA8"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</w:tc>
        <w:tc>
          <w:tcPr>
            <w:tcW w:w="1245" w:type="dxa"/>
            <w:vAlign w:val="top"/>
          </w:tcPr>
          <w:p w14:paraId="094A3FF7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</w:tc>
        <w:tc>
          <w:tcPr>
            <w:tcW w:w="1305" w:type="dxa"/>
            <w:vAlign w:val="top"/>
          </w:tcPr>
          <w:p w14:paraId="1EE890F5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289CB4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2EFF2B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1B2437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0C7F3C44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  <w:tr w14:paraId="7F82D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668" w:type="dxa"/>
            <w:vAlign w:val="top"/>
          </w:tcPr>
          <w:p w14:paraId="713ADF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9</w:t>
            </w:r>
          </w:p>
        </w:tc>
        <w:tc>
          <w:tcPr>
            <w:tcW w:w="900" w:type="dxa"/>
            <w:vAlign w:val="top"/>
          </w:tcPr>
          <w:p w14:paraId="3BD7C26D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小学</w:t>
            </w:r>
          </w:p>
        </w:tc>
        <w:tc>
          <w:tcPr>
            <w:tcW w:w="1740" w:type="dxa"/>
            <w:vAlign w:val="top"/>
          </w:tcPr>
          <w:p w14:paraId="474CC448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嘉荫县乌云中心校</w:t>
            </w:r>
          </w:p>
        </w:tc>
        <w:tc>
          <w:tcPr>
            <w:tcW w:w="3153" w:type="dxa"/>
            <w:vAlign w:val="top"/>
          </w:tcPr>
          <w:p w14:paraId="6715AE51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传染病防控管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理</w:t>
            </w:r>
          </w:p>
          <w:p w14:paraId="29C4E175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突发公共卫生事件管理</w:t>
            </w:r>
          </w:p>
          <w:p w14:paraId="628EEB3C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校内医疗机构管理</w:t>
            </w:r>
          </w:p>
          <w:p w14:paraId="04628EC7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卫生室（保健室）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管理</w:t>
            </w:r>
          </w:p>
          <w:p w14:paraId="0A13DA08">
            <w:pP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常见病与多发病管理</w:t>
            </w:r>
          </w:p>
          <w:p w14:paraId="3347A1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近视防控工作</w:t>
            </w:r>
          </w:p>
          <w:p w14:paraId="7E1A4AF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教学环境管理</w:t>
            </w:r>
          </w:p>
          <w:p w14:paraId="76D015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生活环境管理</w:t>
            </w:r>
          </w:p>
          <w:p w14:paraId="4FDBEEF7">
            <w:pP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生活饮用水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</w:p>
          <w:p w14:paraId="43CDDF65"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校园内公共场所卫生管理</w:t>
            </w:r>
          </w:p>
        </w:tc>
        <w:tc>
          <w:tcPr>
            <w:tcW w:w="1245" w:type="dxa"/>
            <w:vAlign w:val="top"/>
          </w:tcPr>
          <w:p w14:paraId="1B972C04">
            <w:pP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未发现问题</w:t>
            </w:r>
          </w:p>
        </w:tc>
        <w:tc>
          <w:tcPr>
            <w:tcW w:w="1305" w:type="dxa"/>
            <w:vAlign w:val="top"/>
          </w:tcPr>
          <w:p w14:paraId="3FEA17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是</w:t>
            </w:r>
          </w:p>
        </w:tc>
        <w:tc>
          <w:tcPr>
            <w:tcW w:w="1020" w:type="dxa"/>
            <w:vAlign w:val="top"/>
          </w:tcPr>
          <w:p w14:paraId="2C14DA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455" w:type="dxa"/>
            <w:vAlign w:val="top"/>
          </w:tcPr>
          <w:p w14:paraId="1FA837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010" w:type="dxa"/>
            <w:vAlign w:val="top"/>
          </w:tcPr>
          <w:p w14:paraId="3331E9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  <w:tc>
          <w:tcPr>
            <w:tcW w:w="1509" w:type="dxa"/>
            <w:vAlign w:val="top"/>
          </w:tcPr>
          <w:p w14:paraId="35698958"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无</w:t>
            </w:r>
          </w:p>
        </w:tc>
      </w:tr>
    </w:tbl>
    <w:p w14:paraId="1D4BBCF7">
      <w:pPr>
        <w:spacing w:before="100" w:line="417" w:lineRule="exact"/>
        <w:rPr>
          <w:rFonts w:ascii="黑体" w:hAnsi="黑体" w:eastAsia="黑体" w:cs="黑体"/>
          <w:spacing w:val="29"/>
          <w:position w:val="1"/>
          <w:sz w:val="31"/>
          <w:szCs w:val="31"/>
        </w:rPr>
      </w:pPr>
      <w:bookmarkStart w:id="0" w:name="_GoBack"/>
      <w:bookmarkEnd w:id="0"/>
    </w:p>
    <w:p w14:paraId="537B71F4">
      <w:pPr>
        <w:spacing w:before="100" w:line="417" w:lineRule="exact"/>
        <w:ind w:left="11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1898EB48">
      <w:pPr>
        <w:spacing w:before="100" w:line="417" w:lineRule="exact"/>
        <w:ind w:left="11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2BBA46F2">
      <w:pPr>
        <w:spacing w:before="100" w:line="417" w:lineRule="exact"/>
        <w:ind w:left="11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2C4EDD5E">
      <w:pPr>
        <w:pStyle w:val="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079AE1F3">
      <w:pPr>
        <w:pStyle w:val="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2D72C2E1"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 w14:paraId="5CF8C21B"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 w14:paraId="14DAED22"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 w14:paraId="6AC2B7EE">
      <w:pPr>
        <w:spacing w:before="100" w:line="417" w:lineRule="exact"/>
        <w:ind w:left="11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45E4CA4D">
      <w:pPr>
        <w:spacing w:before="100" w:line="417" w:lineRule="exact"/>
        <w:ind w:left="112"/>
        <w:rPr>
          <w:rFonts w:ascii="黑体" w:hAnsi="黑体" w:eastAsia="黑体" w:cs="黑体"/>
          <w:spacing w:val="29"/>
          <w:position w:val="1"/>
          <w:sz w:val="31"/>
          <w:szCs w:val="31"/>
        </w:rPr>
      </w:pPr>
    </w:p>
    <w:p w14:paraId="73A047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72709"/>
    <w:rsid w:val="06872709"/>
    <w:rsid w:val="62B5094C"/>
    <w:rsid w:val="6BC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1271</Words>
  <Characters>1388</Characters>
  <Lines>0</Lines>
  <Paragraphs>0</Paragraphs>
  <TotalTime>8</TotalTime>
  <ScaleCrop>false</ScaleCrop>
  <LinksUpToDate>false</LinksUpToDate>
  <CharactersWithSpaces>1463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2025-03-21T08:45:00Z</dcterms:created>
  <dc:creator>王鑫</dc:creator>
  <cp:lastModifiedBy>默</cp:lastModifiedBy>
  <dcterms:modified xsi:type="dcterms:W3CDTF">2025-03-24T01:08:35Z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2B5EC6400D394EAAB6C2CF52043062D4_11</vt:lpwstr>
  </property>
  <property fmtid="{D5CDD505-2E9C-101B-9397-08002B2CF9AE}" pid="4" name="KSOTemplateDocerSaveRecord">
    <vt:lpwstr>eyJoZGlkIjoiYzM0NjQ1YTBkYzliNTlhODFhNmNiNjEwYjg2NDM2YWMiLCJ1c2VySWQiOiI3MTI2MDIzODgifQ==</vt:lpwstr>
  </property>
</Properties>
</file>